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AE" w:rsidRDefault="00D34DAE" w:rsidP="00047057"/>
    <w:p w:rsidR="00D34DAE" w:rsidRDefault="00D34DAE" w:rsidP="00047057"/>
    <w:p w:rsidR="00D34DAE" w:rsidRDefault="00D34DAE" w:rsidP="00047057">
      <w:r>
        <w:t>26 noviembre</w:t>
      </w:r>
    </w:p>
    <w:p w:rsidR="00D34DAE" w:rsidRDefault="00C43007" w:rsidP="00047057">
      <w:pPr>
        <w:rPr>
          <w:b/>
          <w:u w:val="single"/>
        </w:rPr>
      </w:pPr>
      <w:r w:rsidRPr="00C43007">
        <w:rPr>
          <w:b/>
          <w:u w:val="single"/>
        </w:rPr>
        <w:t>LAS CONSONANTES DEL ESPAÑOL. PROPIEDADES ACÚSTICAS.</w:t>
      </w:r>
    </w:p>
    <w:p w:rsidR="003B3CA6" w:rsidRDefault="00C43007" w:rsidP="002547D2">
      <w:pPr>
        <w:ind w:firstLine="708"/>
        <w:rPr>
          <w:noProof/>
          <w:lang w:eastAsia="es-ES"/>
        </w:rPr>
      </w:pPr>
      <w:r>
        <w:rPr>
          <w:noProof/>
          <w:lang w:eastAsia="es-ES"/>
        </w:rPr>
        <w:t xml:space="preserve">En este espectrograma he grabado </w:t>
      </w:r>
      <w:r w:rsidR="00C92609">
        <w:rPr>
          <w:noProof/>
          <w:lang w:eastAsia="es-ES"/>
        </w:rPr>
        <w:t>las tres consonantes oclusivas so</w:t>
      </w:r>
      <w:r w:rsidR="003B3CA6">
        <w:rPr>
          <w:noProof/>
          <w:lang w:eastAsia="es-ES"/>
        </w:rPr>
        <w:t xml:space="preserve">rdas del español: </w:t>
      </w:r>
      <w:r w:rsidR="003B3CA6" w:rsidRPr="002547D2">
        <w:rPr>
          <w:b/>
          <w:noProof/>
          <w:lang w:eastAsia="es-ES"/>
        </w:rPr>
        <w:t>[p] [t] [k]</w:t>
      </w:r>
      <w:r w:rsidR="003B3CA6">
        <w:rPr>
          <w:noProof/>
          <w:lang w:eastAsia="es-ES"/>
        </w:rPr>
        <w:t xml:space="preserve"> en la palabra “patuco”.</w:t>
      </w:r>
      <w:r w:rsidR="00C92609">
        <w:rPr>
          <w:noProof/>
          <w:lang w:eastAsia="es-ES"/>
        </w:rPr>
        <w:t xml:space="preserve">La tres son consonantes oclusivas cuya realización está formada por una porción de silencio durante la oclusión, y una pequeña barra de explosión durante la relajación. Son ruídos, es decir, no son sonidos armónicos ni formados por estrías, por lo tanto carecen de armónicos, de formantes y de tono. </w:t>
      </w:r>
    </w:p>
    <w:p w:rsidR="003B3CA6" w:rsidRDefault="00C92609" w:rsidP="00047057">
      <w:pPr>
        <w:rPr>
          <w:noProof/>
          <w:lang w:eastAsia="es-ES"/>
        </w:rPr>
      </w:pPr>
      <w:r>
        <w:rPr>
          <w:noProof/>
          <w:lang w:eastAsia="es-ES"/>
        </w:rPr>
        <w:t xml:space="preserve"> </w:t>
      </w:r>
      <w:r w:rsidR="002547D2">
        <w:rPr>
          <w:noProof/>
          <w:lang w:eastAsia="es-ES"/>
        </w:rPr>
        <w:tab/>
      </w:r>
      <w:r>
        <w:rPr>
          <w:noProof/>
          <w:lang w:eastAsia="es-ES"/>
        </w:rPr>
        <w:t xml:space="preserve">La </w:t>
      </w:r>
      <w:r w:rsidRPr="002547D2">
        <w:rPr>
          <w:b/>
          <w:noProof/>
          <w:lang w:eastAsia="es-ES"/>
        </w:rPr>
        <w:t>[t]</w:t>
      </w:r>
      <w:r>
        <w:rPr>
          <w:noProof/>
          <w:lang w:eastAsia="es-ES"/>
        </w:rPr>
        <w:t xml:space="preserve"> es una consonante difusa, </w:t>
      </w:r>
      <w:r w:rsidR="00714B04">
        <w:rPr>
          <w:noProof/>
          <w:lang w:eastAsia="es-ES"/>
        </w:rPr>
        <w:t xml:space="preserve">sin energía, y </w:t>
      </w:r>
      <w:r>
        <w:rPr>
          <w:noProof/>
          <w:lang w:eastAsia="es-ES"/>
        </w:rPr>
        <w:t xml:space="preserve">de timbre agudo, ya que la cavidad bucal se empequeñece en su realización, tratándose de una cavidad subdividida. </w:t>
      </w:r>
    </w:p>
    <w:p w:rsidR="009356D4" w:rsidRDefault="00C92609" w:rsidP="002547D2">
      <w:pPr>
        <w:ind w:firstLine="708"/>
        <w:rPr>
          <w:noProof/>
          <w:lang w:eastAsia="es-ES"/>
        </w:rPr>
      </w:pPr>
      <w:r>
        <w:rPr>
          <w:noProof/>
          <w:lang w:eastAsia="es-ES"/>
        </w:rPr>
        <w:t xml:space="preserve">Al contrario, la </w:t>
      </w:r>
      <w:r w:rsidRPr="002547D2">
        <w:rPr>
          <w:b/>
          <w:noProof/>
          <w:lang w:eastAsia="es-ES"/>
        </w:rPr>
        <w:t>[</w:t>
      </w:r>
      <w:r w:rsidR="003B3CA6" w:rsidRPr="002547D2">
        <w:rPr>
          <w:b/>
          <w:noProof/>
          <w:lang w:eastAsia="es-ES"/>
        </w:rPr>
        <w:t>k]</w:t>
      </w:r>
      <w:r w:rsidR="003B3CA6">
        <w:rPr>
          <w:noProof/>
          <w:lang w:eastAsia="es-ES"/>
        </w:rPr>
        <w:t xml:space="preserve"> </w:t>
      </w:r>
      <w:r w:rsidR="00714B04">
        <w:rPr>
          <w:noProof/>
          <w:lang w:eastAsia="es-ES"/>
        </w:rPr>
        <w:t xml:space="preserve">es una </w:t>
      </w:r>
      <w:r w:rsidR="003B3CA6">
        <w:rPr>
          <w:noProof/>
          <w:lang w:eastAsia="es-ES"/>
        </w:rPr>
        <w:t>consonan</w:t>
      </w:r>
      <w:r w:rsidR="00714B04">
        <w:rPr>
          <w:noProof/>
          <w:lang w:eastAsia="es-ES"/>
        </w:rPr>
        <w:t xml:space="preserve">tes densa, y de timbre grave, </w:t>
      </w:r>
      <w:r w:rsidR="003B3CA6">
        <w:rPr>
          <w:noProof/>
          <w:lang w:eastAsia="es-ES"/>
        </w:rPr>
        <w:t xml:space="preserve">la cavidad bucal en su pronunciación es amplia o no subdividida. </w:t>
      </w:r>
    </w:p>
    <w:p w:rsidR="00714B04" w:rsidRPr="00714B04" w:rsidRDefault="00714B04" w:rsidP="002547D2">
      <w:pPr>
        <w:ind w:firstLine="708"/>
        <w:rPr>
          <w:noProof/>
          <w:lang w:eastAsia="es-ES"/>
        </w:rPr>
      </w:pPr>
      <w:r>
        <w:rPr>
          <w:noProof/>
          <w:lang w:eastAsia="es-ES"/>
        </w:rPr>
        <w:t xml:space="preserve">La </w:t>
      </w:r>
      <w:r w:rsidRPr="00714B04">
        <w:rPr>
          <w:b/>
          <w:noProof/>
          <w:lang w:eastAsia="es-ES"/>
        </w:rPr>
        <w:t>[p]</w:t>
      </w:r>
      <w:r>
        <w:rPr>
          <w:b/>
          <w:noProof/>
          <w:lang w:eastAsia="es-ES"/>
        </w:rPr>
        <w:t xml:space="preserve"> </w:t>
      </w:r>
      <w:r>
        <w:rPr>
          <w:noProof/>
          <w:lang w:eastAsia="es-ES"/>
        </w:rPr>
        <w:t>es difusa, y de timbre grave, energía concentrada en frecuencias bajas  y cavidad amplia.</w:t>
      </w:r>
      <w:bookmarkStart w:id="0" w:name="_GoBack"/>
      <w:bookmarkEnd w:id="0"/>
    </w:p>
    <w:p w:rsidR="00B30D05" w:rsidRDefault="009356D4" w:rsidP="002547D2">
      <w:pPr>
        <w:ind w:firstLine="708"/>
        <w:rPr>
          <w:noProof/>
          <w:lang w:eastAsia="es-ES"/>
        </w:rPr>
      </w:pPr>
      <w:r>
        <w:rPr>
          <w:noProof/>
          <w:lang w:eastAsia="es-ES"/>
        </w:rPr>
        <w:t xml:space="preserve">En esta secuencia, la </w:t>
      </w:r>
      <w:r w:rsidRPr="002547D2">
        <w:rPr>
          <w:b/>
          <w:noProof/>
          <w:lang w:eastAsia="es-ES"/>
        </w:rPr>
        <w:t>[p]</w:t>
      </w:r>
      <w:r>
        <w:rPr>
          <w:noProof/>
          <w:lang w:eastAsia="es-ES"/>
        </w:rPr>
        <w:t xml:space="preserve"> precede a la [a], por lo tanto el locus de donde procede la energía del segundo formante de la vocal, se encuentra en frecuencias bajas en la oclusiva, por lo que el formante adquiere posición ascendente ( la p es un sonido difuso (energía nula)y grave(cavidad amplia), en el que la energía se acumularía en frecuencias bajas</w:t>
      </w:r>
      <w:r w:rsidR="00B30D05">
        <w:rPr>
          <w:noProof/>
          <w:lang w:eastAsia="es-ES"/>
        </w:rPr>
        <w:t>, y por eso al pasar a la vocal, F2 asciende.</w:t>
      </w:r>
    </w:p>
    <w:p w:rsidR="002547D2" w:rsidRDefault="00B30D05" w:rsidP="002547D2">
      <w:pPr>
        <w:ind w:firstLine="708"/>
        <w:rPr>
          <w:noProof/>
          <w:lang w:eastAsia="es-ES"/>
        </w:rPr>
      </w:pPr>
      <w:r>
        <w:rPr>
          <w:noProof/>
          <w:lang w:eastAsia="es-ES"/>
        </w:rPr>
        <w:t xml:space="preserve">La </w:t>
      </w:r>
      <w:r w:rsidRPr="002547D2">
        <w:rPr>
          <w:b/>
          <w:noProof/>
          <w:lang w:eastAsia="es-ES"/>
        </w:rPr>
        <w:t>[t]</w:t>
      </w:r>
      <w:r>
        <w:rPr>
          <w:noProof/>
          <w:lang w:eastAsia="es-ES"/>
        </w:rPr>
        <w:t xml:space="preserve"> por su parte, precede a la [u], es una consonante difusa por su poca cantidad de energía, y al ser aguda por la cavidad subdividida en su pronunciación, la explosión y el locus de energía se encuentran en frecuencias más altas que en la [p]</w:t>
      </w:r>
      <w:r w:rsidR="002547D2">
        <w:rPr>
          <w:noProof/>
          <w:lang w:eastAsia="es-ES"/>
        </w:rPr>
        <w:t>, por lo que el F2 de la [u] es descendiente.</w:t>
      </w:r>
    </w:p>
    <w:p w:rsidR="002547D2" w:rsidRDefault="002547D2" w:rsidP="002547D2">
      <w:pPr>
        <w:ind w:firstLine="708"/>
        <w:rPr>
          <w:noProof/>
          <w:lang w:eastAsia="es-ES"/>
        </w:rPr>
      </w:pPr>
      <w:r>
        <w:rPr>
          <w:noProof/>
          <w:lang w:eastAsia="es-ES"/>
        </w:rPr>
        <w:t xml:space="preserve">Por último, la oclusiva velar </w:t>
      </w:r>
      <w:r w:rsidRPr="002547D2">
        <w:rPr>
          <w:b/>
          <w:noProof/>
          <w:lang w:eastAsia="es-ES"/>
        </w:rPr>
        <w:t>[k]</w:t>
      </w:r>
      <w:r>
        <w:rPr>
          <w:noProof/>
          <w:lang w:eastAsia="es-ES"/>
        </w:rPr>
        <w:t xml:space="preserve"> va precediendo a la vocal [o]. Es la oclusiva sorda con mayor barra de explosión. Es neutra, porque la energía se concentra en frecuencias intermedias, y no obliga al F2 de la vocal a descender ni a ascender. Al contrario que las dos anteriores, es densa, pues no presenta una cavidad subdividida, sino amplia.</w:t>
      </w:r>
    </w:p>
    <w:p w:rsidR="00C43007" w:rsidRPr="00C43007" w:rsidRDefault="003B3CA6" w:rsidP="00047057">
      <w:r>
        <w:rPr>
          <w:noProof/>
          <w:lang w:eastAsia="es-ES"/>
        </w:rPr>
        <w:lastRenderedPageBreak/>
        <w:drawing>
          <wp:inline distT="0" distB="0" distL="0" distR="0">
            <wp:extent cx="5400040" cy="2054225"/>
            <wp:effectExtent l="0" t="0" r="0" b="3175"/>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bmp"/>
                    <pic:cNvPicPr/>
                  </pic:nvPicPr>
                  <pic:blipFill>
                    <a:blip r:embed="rId6">
                      <a:extLst>
                        <a:ext uri="{28A0092B-C50C-407E-A947-70E740481C1C}">
                          <a14:useLocalDpi xmlns:a14="http://schemas.microsoft.com/office/drawing/2010/main" val="0"/>
                        </a:ext>
                      </a:extLst>
                    </a:blip>
                    <a:stretch>
                      <a:fillRect/>
                    </a:stretch>
                  </pic:blipFill>
                  <pic:spPr>
                    <a:xfrm>
                      <a:off x="0" y="0"/>
                      <a:ext cx="5400040" cy="2054225"/>
                    </a:xfrm>
                    <a:prstGeom prst="rect">
                      <a:avLst/>
                    </a:prstGeom>
                  </pic:spPr>
                </pic:pic>
              </a:graphicData>
            </a:graphic>
          </wp:inline>
        </w:drawing>
      </w:r>
    </w:p>
    <w:p w:rsidR="00047057" w:rsidRDefault="00047057" w:rsidP="00047057">
      <w:r>
        <w:t>19 de noviembre</w:t>
      </w:r>
    </w:p>
    <w:p w:rsidR="00047057" w:rsidRPr="00485354" w:rsidRDefault="00047057" w:rsidP="00047057">
      <w:pPr>
        <w:rPr>
          <w:b/>
          <w:u w:val="single"/>
        </w:rPr>
      </w:pPr>
      <w:r w:rsidRPr="00485354">
        <w:rPr>
          <w:b/>
          <w:u w:val="single"/>
        </w:rPr>
        <w:t>LAS VOCALES DEL ESPAÑOL. CARACTERIZACIÓN ACÚSTICA.</w:t>
      </w:r>
    </w:p>
    <w:p w:rsidR="00047057" w:rsidRDefault="00047057" w:rsidP="002547D2">
      <w:pPr>
        <w:ind w:firstLine="708"/>
      </w:pPr>
      <w:r>
        <w:t xml:space="preserve">Los formantes son los conjuntos de frecuencias con mayor intensidad en la pronunciación de un sonido, reforzados  por el filtro o tracto bucal, y que nos determinan de qué vocal se trata. </w:t>
      </w:r>
      <w:r w:rsidR="00485354">
        <w:t xml:space="preserve">En el espectrograma se representan con manchas más o menos oscuras y formadas por estrías que reflejan la vibración de las cuerdas vocales. </w:t>
      </w:r>
      <w:r>
        <w:t xml:space="preserve">F1 se corresponde con </w:t>
      </w:r>
      <w:r w:rsidR="00485354">
        <w:t>la apertura (vocales abiertas o cerradas), y f2 tiene que ver con el timbre (vocales graves o agudas)</w:t>
      </w:r>
      <w:r w:rsidR="00613E00">
        <w:rPr>
          <w:noProof/>
          <w:lang w:eastAsia="es-ES"/>
        </w:rPr>
        <w:drawing>
          <wp:inline distT="0" distB="0" distL="0" distR="0" wp14:anchorId="7076A0EC" wp14:editId="120869B6">
            <wp:extent cx="5796122" cy="2524125"/>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bujo.bmp"/>
                    <pic:cNvPicPr/>
                  </pic:nvPicPr>
                  <pic:blipFill>
                    <a:blip r:embed="rId7">
                      <a:extLst>
                        <a:ext uri="{28A0092B-C50C-407E-A947-70E740481C1C}">
                          <a14:useLocalDpi xmlns:a14="http://schemas.microsoft.com/office/drawing/2010/main" val="0"/>
                        </a:ext>
                      </a:extLst>
                    </a:blip>
                    <a:stretch>
                      <a:fillRect/>
                    </a:stretch>
                  </pic:blipFill>
                  <pic:spPr>
                    <a:xfrm>
                      <a:off x="0" y="0"/>
                      <a:ext cx="5799246" cy="2525486"/>
                    </a:xfrm>
                    <a:prstGeom prst="rect">
                      <a:avLst/>
                    </a:prstGeom>
                  </pic:spPr>
                </pic:pic>
              </a:graphicData>
            </a:graphic>
          </wp:inline>
        </w:drawing>
      </w:r>
    </w:p>
    <w:tbl>
      <w:tblPr>
        <w:tblStyle w:val="Tablaconcuadrcula"/>
        <w:tblW w:w="0" w:type="auto"/>
        <w:tblInd w:w="720" w:type="dxa"/>
        <w:tblLook w:val="04A0" w:firstRow="1" w:lastRow="0" w:firstColumn="1" w:lastColumn="0" w:noHBand="0" w:noVBand="1"/>
      </w:tblPr>
      <w:tblGrid>
        <w:gridCol w:w="664"/>
        <w:gridCol w:w="3260"/>
        <w:gridCol w:w="4076"/>
      </w:tblGrid>
      <w:tr w:rsidR="00047057" w:rsidTr="00047057">
        <w:tc>
          <w:tcPr>
            <w:tcW w:w="664" w:type="dxa"/>
            <w:shd w:val="clear" w:color="auto" w:fill="F79646" w:themeFill="accent6"/>
          </w:tcPr>
          <w:p w:rsidR="00047057" w:rsidRDefault="00047057" w:rsidP="00BD2AF7">
            <w:pPr>
              <w:pStyle w:val="Prrafodelista"/>
              <w:ind w:left="0"/>
            </w:pPr>
          </w:p>
        </w:tc>
        <w:tc>
          <w:tcPr>
            <w:tcW w:w="3260" w:type="dxa"/>
            <w:shd w:val="clear" w:color="auto" w:fill="DDD9C3" w:themeFill="background2" w:themeFillShade="E6"/>
          </w:tcPr>
          <w:p w:rsidR="00047057" w:rsidRPr="00047057" w:rsidRDefault="00047057" w:rsidP="00BD2AF7">
            <w:pPr>
              <w:pStyle w:val="Prrafodelista"/>
              <w:ind w:left="0"/>
              <w:rPr>
                <w:b/>
              </w:rPr>
            </w:pPr>
            <w:r w:rsidRPr="00047057">
              <w:rPr>
                <w:b/>
              </w:rPr>
              <w:t>F1</w:t>
            </w:r>
          </w:p>
        </w:tc>
        <w:tc>
          <w:tcPr>
            <w:tcW w:w="4076" w:type="dxa"/>
            <w:shd w:val="clear" w:color="auto" w:fill="DDD9C3" w:themeFill="background2" w:themeFillShade="E6"/>
          </w:tcPr>
          <w:p w:rsidR="00047057" w:rsidRPr="00047057" w:rsidRDefault="00047057" w:rsidP="00BD2AF7">
            <w:pPr>
              <w:pStyle w:val="Prrafodelista"/>
              <w:ind w:left="0"/>
              <w:rPr>
                <w:b/>
              </w:rPr>
            </w:pPr>
            <w:r w:rsidRPr="00047057">
              <w:rPr>
                <w:b/>
              </w:rPr>
              <w:t>F2</w:t>
            </w:r>
          </w:p>
        </w:tc>
      </w:tr>
      <w:tr w:rsidR="00047057" w:rsidTr="00047057">
        <w:tc>
          <w:tcPr>
            <w:tcW w:w="664" w:type="dxa"/>
            <w:shd w:val="clear" w:color="auto" w:fill="F79646" w:themeFill="accent6"/>
          </w:tcPr>
          <w:p w:rsidR="00047057" w:rsidRPr="00047057" w:rsidRDefault="00047057" w:rsidP="00BD2AF7">
            <w:pPr>
              <w:pStyle w:val="Prrafodelista"/>
              <w:ind w:left="0"/>
              <w:rPr>
                <w:b/>
              </w:rPr>
            </w:pPr>
            <w:r w:rsidRPr="00047057">
              <w:rPr>
                <w:b/>
              </w:rPr>
              <w:t>i</w:t>
            </w:r>
          </w:p>
        </w:tc>
        <w:tc>
          <w:tcPr>
            <w:tcW w:w="3260" w:type="dxa"/>
          </w:tcPr>
          <w:p w:rsidR="00047057" w:rsidRDefault="00047057" w:rsidP="00BD2AF7">
            <w:pPr>
              <w:pStyle w:val="Prrafodelista"/>
              <w:ind w:left="0"/>
            </w:pPr>
            <w:r>
              <w:t>450 Hz</w:t>
            </w:r>
          </w:p>
        </w:tc>
        <w:tc>
          <w:tcPr>
            <w:tcW w:w="4076" w:type="dxa"/>
          </w:tcPr>
          <w:p w:rsidR="00047057" w:rsidRDefault="00047057" w:rsidP="00BD2AF7">
            <w:pPr>
              <w:pStyle w:val="Prrafodelista"/>
              <w:ind w:left="0"/>
            </w:pPr>
            <w:r>
              <w:t>2570 Hz</w:t>
            </w:r>
          </w:p>
        </w:tc>
      </w:tr>
      <w:tr w:rsidR="00047057" w:rsidTr="00047057">
        <w:tc>
          <w:tcPr>
            <w:tcW w:w="664" w:type="dxa"/>
            <w:shd w:val="clear" w:color="auto" w:fill="F79646" w:themeFill="accent6"/>
          </w:tcPr>
          <w:p w:rsidR="00047057" w:rsidRPr="00047057" w:rsidRDefault="00047057" w:rsidP="00BD2AF7">
            <w:pPr>
              <w:pStyle w:val="Prrafodelista"/>
              <w:ind w:left="0"/>
              <w:rPr>
                <w:b/>
              </w:rPr>
            </w:pPr>
            <w:r w:rsidRPr="00047057">
              <w:rPr>
                <w:b/>
              </w:rPr>
              <w:t>e</w:t>
            </w:r>
          </w:p>
        </w:tc>
        <w:tc>
          <w:tcPr>
            <w:tcW w:w="3260" w:type="dxa"/>
          </w:tcPr>
          <w:p w:rsidR="00047057" w:rsidRDefault="00047057" w:rsidP="00BD2AF7">
            <w:pPr>
              <w:pStyle w:val="Prrafodelista"/>
              <w:ind w:left="0"/>
            </w:pPr>
            <w:r>
              <w:t xml:space="preserve">490 </w:t>
            </w:r>
            <w:proofErr w:type="spellStart"/>
            <w:r>
              <w:t>hz</w:t>
            </w:r>
            <w:proofErr w:type="spellEnd"/>
          </w:p>
        </w:tc>
        <w:tc>
          <w:tcPr>
            <w:tcW w:w="4076" w:type="dxa"/>
          </w:tcPr>
          <w:p w:rsidR="00047057" w:rsidRDefault="00047057" w:rsidP="00BD2AF7">
            <w:pPr>
              <w:pStyle w:val="Prrafodelista"/>
              <w:ind w:left="0"/>
            </w:pPr>
            <w:r>
              <w:t xml:space="preserve">2500 </w:t>
            </w:r>
            <w:proofErr w:type="spellStart"/>
            <w:r>
              <w:t>hz</w:t>
            </w:r>
            <w:proofErr w:type="spellEnd"/>
          </w:p>
        </w:tc>
      </w:tr>
      <w:tr w:rsidR="00047057" w:rsidTr="00047057">
        <w:tc>
          <w:tcPr>
            <w:tcW w:w="664" w:type="dxa"/>
            <w:shd w:val="clear" w:color="auto" w:fill="F79646" w:themeFill="accent6"/>
          </w:tcPr>
          <w:p w:rsidR="00047057" w:rsidRPr="00047057" w:rsidRDefault="00047057" w:rsidP="00BD2AF7">
            <w:pPr>
              <w:pStyle w:val="Prrafodelista"/>
              <w:ind w:left="0"/>
              <w:rPr>
                <w:b/>
              </w:rPr>
            </w:pPr>
            <w:r w:rsidRPr="00047057">
              <w:rPr>
                <w:b/>
              </w:rPr>
              <w:t>a</w:t>
            </w:r>
          </w:p>
        </w:tc>
        <w:tc>
          <w:tcPr>
            <w:tcW w:w="3260" w:type="dxa"/>
          </w:tcPr>
          <w:p w:rsidR="00047057" w:rsidRDefault="00047057" w:rsidP="00BD2AF7">
            <w:pPr>
              <w:pStyle w:val="Prrafodelista"/>
              <w:ind w:left="0"/>
            </w:pPr>
            <w:r>
              <w:t xml:space="preserve">1000 </w:t>
            </w:r>
            <w:proofErr w:type="spellStart"/>
            <w:r>
              <w:t>hz</w:t>
            </w:r>
            <w:proofErr w:type="spellEnd"/>
          </w:p>
        </w:tc>
        <w:tc>
          <w:tcPr>
            <w:tcW w:w="4076" w:type="dxa"/>
          </w:tcPr>
          <w:p w:rsidR="00047057" w:rsidRDefault="00047057" w:rsidP="00BD2AF7">
            <w:pPr>
              <w:pStyle w:val="Prrafodelista"/>
              <w:ind w:left="0"/>
            </w:pPr>
            <w:r>
              <w:t>1500 Hz</w:t>
            </w:r>
          </w:p>
        </w:tc>
      </w:tr>
      <w:tr w:rsidR="00047057" w:rsidTr="00047057">
        <w:tc>
          <w:tcPr>
            <w:tcW w:w="664" w:type="dxa"/>
            <w:shd w:val="clear" w:color="auto" w:fill="F79646" w:themeFill="accent6"/>
          </w:tcPr>
          <w:p w:rsidR="00047057" w:rsidRPr="00047057" w:rsidRDefault="00047057" w:rsidP="00BD2AF7">
            <w:pPr>
              <w:pStyle w:val="Prrafodelista"/>
              <w:ind w:left="0"/>
              <w:rPr>
                <w:b/>
              </w:rPr>
            </w:pPr>
            <w:r w:rsidRPr="00047057">
              <w:rPr>
                <w:b/>
              </w:rPr>
              <w:t>o</w:t>
            </w:r>
          </w:p>
        </w:tc>
        <w:tc>
          <w:tcPr>
            <w:tcW w:w="3260" w:type="dxa"/>
          </w:tcPr>
          <w:p w:rsidR="00047057" w:rsidRDefault="00047057" w:rsidP="00BD2AF7">
            <w:pPr>
              <w:pStyle w:val="Prrafodelista"/>
              <w:ind w:left="0"/>
            </w:pPr>
            <w:r>
              <w:t>700 Hz</w:t>
            </w:r>
          </w:p>
        </w:tc>
        <w:tc>
          <w:tcPr>
            <w:tcW w:w="4076" w:type="dxa"/>
          </w:tcPr>
          <w:p w:rsidR="00047057" w:rsidRDefault="00047057" w:rsidP="00BD2AF7">
            <w:pPr>
              <w:pStyle w:val="Prrafodelista"/>
              <w:ind w:left="0"/>
            </w:pPr>
            <w:r>
              <w:t>1200hz</w:t>
            </w:r>
          </w:p>
        </w:tc>
      </w:tr>
      <w:tr w:rsidR="00047057" w:rsidTr="00047057">
        <w:tc>
          <w:tcPr>
            <w:tcW w:w="664" w:type="dxa"/>
            <w:shd w:val="clear" w:color="auto" w:fill="F79646" w:themeFill="accent6"/>
          </w:tcPr>
          <w:p w:rsidR="00047057" w:rsidRPr="00047057" w:rsidRDefault="00047057" w:rsidP="00BD2AF7">
            <w:pPr>
              <w:pStyle w:val="Prrafodelista"/>
              <w:ind w:left="0"/>
              <w:rPr>
                <w:b/>
              </w:rPr>
            </w:pPr>
            <w:r w:rsidRPr="00047057">
              <w:rPr>
                <w:b/>
              </w:rPr>
              <w:t>u</w:t>
            </w:r>
          </w:p>
        </w:tc>
        <w:tc>
          <w:tcPr>
            <w:tcW w:w="3260" w:type="dxa"/>
          </w:tcPr>
          <w:p w:rsidR="00047057" w:rsidRDefault="00047057" w:rsidP="00BD2AF7">
            <w:pPr>
              <w:pStyle w:val="Prrafodelista"/>
              <w:ind w:left="0"/>
            </w:pPr>
            <w:r>
              <w:t>500 Hz</w:t>
            </w:r>
          </w:p>
        </w:tc>
        <w:tc>
          <w:tcPr>
            <w:tcW w:w="4076" w:type="dxa"/>
          </w:tcPr>
          <w:p w:rsidR="00047057" w:rsidRDefault="00047057" w:rsidP="00BD2AF7">
            <w:pPr>
              <w:pStyle w:val="Prrafodelista"/>
              <w:ind w:left="0"/>
            </w:pPr>
            <w:r>
              <w:t xml:space="preserve">800 </w:t>
            </w:r>
            <w:proofErr w:type="spellStart"/>
            <w:r>
              <w:t>hz</w:t>
            </w:r>
            <w:proofErr w:type="spellEnd"/>
          </w:p>
        </w:tc>
      </w:tr>
    </w:tbl>
    <w:p w:rsidR="005C0425" w:rsidRDefault="005C0425" w:rsidP="00BD2AF7">
      <w:pPr>
        <w:pStyle w:val="Prrafodelista"/>
      </w:pPr>
    </w:p>
    <w:p w:rsidR="00047057" w:rsidRDefault="00047057" w:rsidP="00BD2AF7">
      <w:pPr>
        <w:pStyle w:val="Prrafodelista"/>
      </w:pPr>
    </w:p>
    <w:p w:rsidR="00485354" w:rsidRDefault="00485354" w:rsidP="00BD2AF7">
      <w:pPr>
        <w:pStyle w:val="Prrafodelista"/>
      </w:pPr>
    </w:p>
    <w:p w:rsidR="00485354" w:rsidRPr="00485354" w:rsidRDefault="00485354" w:rsidP="00485354">
      <w:pPr>
        <w:rPr>
          <w:b/>
          <w:u w:val="single"/>
        </w:rPr>
      </w:pPr>
      <w:r w:rsidRPr="00485354">
        <w:rPr>
          <w:b/>
          <w:u w:val="single"/>
        </w:rPr>
        <w:t>FONÉTICA Y FONOLOGÍA DEL ESPAÑOL</w:t>
      </w:r>
    </w:p>
    <w:p w:rsidR="00485354" w:rsidRDefault="00485354" w:rsidP="00485354">
      <w:r>
        <w:lastRenderedPageBreak/>
        <w:t>12 noviembre</w:t>
      </w:r>
    </w:p>
    <w:p w:rsidR="00485354" w:rsidRDefault="00485354" w:rsidP="00485354">
      <w:pPr>
        <w:pStyle w:val="Prrafodelista"/>
        <w:numPr>
          <w:ilvl w:val="0"/>
          <w:numId w:val="1"/>
        </w:numPr>
        <w:rPr>
          <w:b/>
        </w:rPr>
      </w:pPr>
      <w:r w:rsidRPr="00BA4F75">
        <w:rPr>
          <w:b/>
        </w:rPr>
        <w:t>Tono de una secuencia grabada</w:t>
      </w:r>
      <w:r>
        <w:rPr>
          <w:b/>
        </w:rPr>
        <w:t>.</w:t>
      </w:r>
    </w:p>
    <w:p w:rsidR="00485354" w:rsidRDefault="00485354" w:rsidP="002547D2">
      <w:pPr>
        <w:pStyle w:val="Prrafodelista"/>
        <w:ind w:firstLine="696"/>
      </w:pPr>
      <w:r w:rsidRPr="00BA4F75">
        <w:t>Lla</w:t>
      </w:r>
      <w:r>
        <w:t xml:space="preserve">mamos tono a la frecuencia fundamental o F0, es decir, el número de veces que se repite un ciclo en una </w:t>
      </w:r>
      <w:proofErr w:type="gramStart"/>
      <w:r>
        <w:t>onda .</w:t>
      </w:r>
      <w:proofErr w:type="gramEnd"/>
      <w:r>
        <w:t xml:space="preserve"> Se mide en Hz y condiciona el número de armónicos que constituirán el conjunto. Podemos visualizarlo en diferentes gráficos como por ejemplo los espectros, los oscilogramas y los espectrogramas. El trazo no es siempre continuo porque representa las etapas de fonación (fuente del sonido) y articulación (filtro del sonido), en las cuales la amplitud es distinta. </w:t>
      </w:r>
    </w:p>
    <w:p w:rsidR="00485354" w:rsidRDefault="00485354" w:rsidP="00485354">
      <w:pPr>
        <w:pStyle w:val="Prrafodelista"/>
      </w:pPr>
      <w:r>
        <w:t xml:space="preserve">El valor medio del tono de voz de una persona depende de la masa de las cuerdas vocales, su tensión, y la presión </w:t>
      </w:r>
      <w:proofErr w:type="spellStart"/>
      <w:r>
        <w:t>subglótica</w:t>
      </w:r>
      <w:proofErr w:type="spellEnd"/>
      <w:r>
        <w:t xml:space="preserve">. Esto varía según el género, adoptando un tono más alto las voces femeninas. </w:t>
      </w:r>
    </w:p>
    <w:p w:rsidR="00485354" w:rsidRDefault="00485354" w:rsidP="00485354">
      <w:pPr>
        <w:pStyle w:val="Prrafodelista"/>
      </w:pPr>
      <w:r>
        <w:t>F0 en a de llamo: 215 Hz</w:t>
      </w:r>
    </w:p>
    <w:p w:rsidR="00485354" w:rsidRDefault="00485354" w:rsidP="00485354">
      <w:pPr>
        <w:pStyle w:val="Prrafodelista"/>
        <w:rPr>
          <w:noProof/>
          <w:lang w:eastAsia="es-ES"/>
        </w:rPr>
      </w:pPr>
      <w:r>
        <w:t>Frecuencia fundamental. Máximo 250 mínimo 170.</w:t>
      </w:r>
      <w:r w:rsidRPr="00613E00">
        <w:rPr>
          <w:noProof/>
          <w:lang w:eastAsia="es-ES"/>
        </w:rPr>
        <w:t xml:space="preserve"> </w:t>
      </w:r>
    </w:p>
    <w:p w:rsidR="00C65DE4" w:rsidRDefault="00C65DE4" w:rsidP="00485354">
      <w:pPr>
        <w:pStyle w:val="Prrafodelista"/>
        <w:rPr>
          <w:noProof/>
          <w:lang w:eastAsia="es-ES"/>
        </w:rPr>
      </w:pPr>
    </w:p>
    <w:p w:rsidR="00485354" w:rsidRDefault="00C65DE4" w:rsidP="00BD2AF7">
      <w:pPr>
        <w:pStyle w:val="Prrafodelista"/>
      </w:pPr>
      <w:r>
        <w:rPr>
          <w:noProof/>
          <w:lang w:eastAsia="es-ES"/>
        </w:rPr>
        <w:drawing>
          <wp:inline distT="0" distB="0" distL="0" distR="0">
            <wp:extent cx="5945229" cy="225742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ect.bmp"/>
                    <pic:cNvPicPr/>
                  </pic:nvPicPr>
                  <pic:blipFill>
                    <a:blip r:embed="rId8">
                      <a:extLst>
                        <a:ext uri="{28A0092B-C50C-407E-A947-70E740481C1C}">
                          <a14:useLocalDpi xmlns:a14="http://schemas.microsoft.com/office/drawing/2010/main" val="0"/>
                        </a:ext>
                      </a:extLst>
                    </a:blip>
                    <a:stretch>
                      <a:fillRect/>
                    </a:stretch>
                  </pic:blipFill>
                  <pic:spPr>
                    <a:xfrm>
                      <a:off x="0" y="0"/>
                      <a:ext cx="5952603" cy="2260225"/>
                    </a:xfrm>
                    <a:prstGeom prst="rect">
                      <a:avLst/>
                    </a:prstGeom>
                  </pic:spPr>
                </pic:pic>
              </a:graphicData>
            </a:graphic>
          </wp:inline>
        </w:drawing>
      </w:r>
    </w:p>
    <w:sectPr w:rsidR="0048535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D64320"/>
    <w:multiLevelType w:val="hybridMultilevel"/>
    <w:tmpl w:val="709692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F75"/>
    <w:rsid w:val="00047057"/>
    <w:rsid w:val="000C27F0"/>
    <w:rsid w:val="002547D2"/>
    <w:rsid w:val="003B3CA6"/>
    <w:rsid w:val="00485354"/>
    <w:rsid w:val="005C0425"/>
    <w:rsid w:val="00613E00"/>
    <w:rsid w:val="00714B04"/>
    <w:rsid w:val="009356D4"/>
    <w:rsid w:val="00B30D05"/>
    <w:rsid w:val="00BA4F75"/>
    <w:rsid w:val="00BD2AF7"/>
    <w:rsid w:val="00C43007"/>
    <w:rsid w:val="00C65DE4"/>
    <w:rsid w:val="00C92609"/>
    <w:rsid w:val="00D34D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4F75"/>
    <w:pPr>
      <w:ind w:left="720"/>
      <w:contextualSpacing/>
    </w:pPr>
  </w:style>
  <w:style w:type="paragraph" w:styleId="Textodeglobo">
    <w:name w:val="Balloon Text"/>
    <w:basedOn w:val="Normal"/>
    <w:link w:val="TextodegloboCar"/>
    <w:uiPriority w:val="99"/>
    <w:semiHidden/>
    <w:unhideWhenUsed/>
    <w:rsid w:val="00613E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3E00"/>
    <w:rPr>
      <w:rFonts w:ascii="Tahoma" w:hAnsi="Tahoma" w:cs="Tahoma"/>
      <w:sz w:val="16"/>
      <w:szCs w:val="16"/>
    </w:rPr>
  </w:style>
  <w:style w:type="table" w:styleId="Tablaconcuadrcula">
    <w:name w:val="Table Grid"/>
    <w:basedOn w:val="Tablanormal"/>
    <w:uiPriority w:val="59"/>
    <w:rsid w:val="00613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4F75"/>
    <w:pPr>
      <w:ind w:left="720"/>
      <w:contextualSpacing/>
    </w:pPr>
  </w:style>
  <w:style w:type="paragraph" w:styleId="Textodeglobo">
    <w:name w:val="Balloon Text"/>
    <w:basedOn w:val="Normal"/>
    <w:link w:val="TextodegloboCar"/>
    <w:uiPriority w:val="99"/>
    <w:semiHidden/>
    <w:unhideWhenUsed/>
    <w:rsid w:val="00613E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3E00"/>
    <w:rPr>
      <w:rFonts w:ascii="Tahoma" w:hAnsi="Tahoma" w:cs="Tahoma"/>
      <w:sz w:val="16"/>
      <w:szCs w:val="16"/>
    </w:rPr>
  </w:style>
  <w:style w:type="table" w:styleId="Tablaconcuadrcula">
    <w:name w:val="Table Grid"/>
    <w:basedOn w:val="Tablanormal"/>
    <w:uiPriority w:val="59"/>
    <w:rsid w:val="00613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518</Words>
  <Characters>2854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usc</Company>
  <LinksUpToDate>false</LinksUpToDate>
  <CharactersWithSpaces>3366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pacheco martínez irene</dc:creator>
  <cp:keywords/>
  <dc:description/>
  <cp:lastModifiedBy>pacheco martínez irene</cp:lastModifiedBy>
  <cp:revision>3</cp:revision>
  <dcterms:created xsi:type="dcterms:W3CDTF">2014-12-03T12:45:00Z</dcterms:created>
  <dcterms:modified xsi:type="dcterms:W3CDTF">2014-12-03T12:54:00Z</dcterms:modified>
</cp:coreProperties>
</file>